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B1" w:rsidRPr="00DE2F4A" w:rsidRDefault="00133CB1" w:rsidP="00133C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MBA (Part‐Time) Syllabus </w:t>
      </w:r>
    </w:p>
    <w:p w:rsidR="00133CB1" w:rsidRPr="00133CB1" w:rsidRDefault="00133CB1" w:rsidP="00133CB1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libri"/>
          <w:color w:val="000000"/>
          <w:szCs w:val="22"/>
        </w:rPr>
      </w:pPr>
    </w:p>
    <w:tbl>
      <w:tblPr>
        <w:tblW w:w="1264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12"/>
        <w:gridCol w:w="540"/>
        <w:gridCol w:w="899"/>
        <w:gridCol w:w="720"/>
        <w:gridCol w:w="1080"/>
        <w:gridCol w:w="1079"/>
        <w:gridCol w:w="719"/>
        <w:gridCol w:w="901"/>
        <w:gridCol w:w="539"/>
        <w:gridCol w:w="2160"/>
      </w:tblGrid>
      <w:tr w:rsidR="00133CB1" w:rsidRPr="00DE2F4A" w:rsidTr="008C1E6F">
        <w:trPr>
          <w:trHeight w:val="544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1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st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Credit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Hours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Full marks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MBC‐101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Organization Structure &amp;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MBC‐102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Organizational Behaviour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MBC‐103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Managerial Economics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MBC‐104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Basic Financial Accounting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MBC‐105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Quantitative Techniques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20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225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500 </w:t>
            </w:r>
          </w:p>
        </w:tc>
      </w:tr>
      <w:tr w:rsidR="00133CB1" w:rsidRPr="00DE2F4A" w:rsidTr="008C1E6F">
        <w:trPr>
          <w:trHeight w:val="275"/>
        </w:trPr>
        <w:tc>
          <w:tcPr>
            <w:tcW w:w="12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2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nd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MBC‐201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Financial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MBC‐202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Marketing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MBC‐203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Human Resource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MBC‐204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Research Methodology &amp; SPSS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MBC‐205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Business Communication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18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205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500 </w:t>
            </w:r>
          </w:p>
        </w:tc>
      </w:tr>
      <w:tr w:rsidR="00133CB1" w:rsidRPr="00DE2F4A" w:rsidTr="008C1E6F">
        <w:trPr>
          <w:trHeight w:val="275"/>
        </w:trPr>
        <w:tc>
          <w:tcPr>
            <w:tcW w:w="12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3</w:t>
            </w:r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rd</w:t>
            </w: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IT for Managers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Banking &amp; Insurance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Business &amp; Corporate Law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Entrepreneurship &amp; Mgt. of SME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MBC‐305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Cost &amp; Management Accounting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MBC‐306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Project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21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195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600 </w:t>
            </w:r>
          </w:p>
        </w:tc>
      </w:tr>
      <w:tr w:rsidR="00133CB1" w:rsidRPr="00DE2F4A" w:rsidTr="008C1E6F">
        <w:trPr>
          <w:trHeight w:val="275"/>
        </w:trPr>
        <w:tc>
          <w:tcPr>
            <w:tcW w:w="12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4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MBC‐401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Production &amp; Operations Mgt.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MBC‐402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MIS &amp; ERP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MBC‐403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Business Ethics &amp; Corporate </w:t>
            </w:r>
            <w:r w:rsidRPr="00DE2F4A">
              <w:rPr>
                <w:rFonts w:asciiTheme="majorHAnsi" w:hAnsiTheme="majorHAnsi" w:cs="Calibri"/>
                <w:color w:val="000000"/>
                <w:szCs w:val="22"/>
              </w:rPr>
              <w:lastRenderedPageBreak/>
              <w:t xml:space="preserve">Governance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lastRenderedPageBreak/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lastRenderedPageBreak/>
              <w:t xml:space="preserve">MBC‐404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Strategic Management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MBC‐405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Business Environment &amp; Sustainable Dev.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35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MBC‐406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Project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16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185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600 </w:t>
            </w:r>
          </w:p>
        </w:tc>
      </w:tr>
      <w:tr w:rsidR="00133CB1" w:rsidRPr="00DE2F4A" w:rsidTr="008C1E6F">
        <w:trPr>
          <w:trHeight w:val="275"/>
        </w:trPr>
        <w:tc>
          <w:tcPr>
            <w:tcW w:w="12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5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Elective‐1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Elective‐2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Elective‐3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Elective‐4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MBC‐505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Project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20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180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500 </w:t>
            </w:r>
          </w:p>
        </w:tc>
      </w:tr>
      <w:tr w:rsidR="00133CB1" w:rsidRPr="00DE2F4A" w:rsidTr="008C1E6F">
        <w:trPr>
          <w:trHeight w:val="275"/>
        </w:trPr>
        <w:tc>
          <w:tcPr>
            <w:tcW w:w="126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6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Elective‐5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Elective‐6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Elective‐7 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45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MBC‐604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Dissertation and Viva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4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100 </w:t>
            </w:r>
          </w:p>
        </w:tc>
      </w:tr>
      <w:tr w:rsidR="00133CB1" w:rsidRPr="00DE2F4A" w:rsidTr="008C1E6F">
        <w:trPr>
          <w:trHeight w:val="251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16 </w:t>
            </w:r>
          </w:p>
        </w:tc>
        <w:tc>
          <w:tcPr>
            <w:tcW w:w="3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135 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400 </w:t>
            </w:r>
          </w:p>
        </w:tc>
      </w:tr>
      <w:tr w:rsidR="00133CB1" w:rsidRPr="00DE2F4A" w:rsidTr="008C1E6F">
        <w:trPr>
          <w:trHeight w:val="251"/>
        </w:trPr>
        <w:tc>
          <w:tcPr>
            <w:tcW w:w="4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Total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111 </w:t>
            </w:r>
          </w:p>
        </w:tc>
        <w:tc>
          <w:tcPr>
            <w:tcW w:w="2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1125 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3100 </w:t>
            </w:r>
          </w:p>
        </w:tc>
      </w:tr>
    </w:tbl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ELECTIVES </w:t>
      </w:r>
    </w:p>
    <w:tbl>
      <w:tblPr>
        <w:tblW w:w="941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95"/>
        <w:gridCol w:w="1129"/>
        <w:gridCol w:w="1130"/>
        <w:gridCol w:w="2259"/>
      </w:tblGrid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5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Elective‐I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Consumer Behaviour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Project Appraisal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Human Resource Planning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Software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MBC‐501E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Technology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5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Elective‐II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Sales &amp; Distribution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Financial Services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Compensation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E‐Business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MBC‐502E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Total Quality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5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Elective‐III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Product &amp; Brand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Security Analysis &amp; Portfolio Analysis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Performance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Networking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MBC‐503E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Project Operations and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lastRenderedPageBreak/>
              <w:t>5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Elective‐IV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Services Marketing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Taxation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Human Resource Development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Computer Aided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MBC‐504E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Innovation and R &amp; D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6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Elective‐V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Integrated Marketing Communication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Derivatives and Risk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Employment Legislations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System Analysis &amp; Design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MBC‐601E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Materials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6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451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Elective‐VI 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Retail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Strategic Financial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Organizational Change and Development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Data Base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MBC‐602E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Supply Chain Management </w:t>
            </w:r>
          </w:p>
        </w:tc>
      </w:tr>
      <w:tr w:rsidR="00133CB1" w:rsidRPr="00DE2F4A" w:rsidTr="008C1E6F">
        <w:trPr>
          <w:trHeight w:val="275"/>
        </w:trPr>
        <w:tc>
          <w:tcPr>
            <w:tcW w:w="48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>6</w:t>
            </w:r>
            <w:proofErr w:type="spellStart"/>
            <w:r w:rsidRPr="00DE2F4A">
              <w:rPr>
                <w:rFonts w:asciiTheme="majorHAnsi" w:hAnsiTheme="majorHAnsi" w:cs="Calibri"/>
                <w:b/>
                <w:bCs/>
                <w:color w:val="000000"/>
                <w:position w:val="8"/>
                <w:szCs w:val="22"/>
                <w:vertAlign w:val="superscript"/>
              </w:rPr>
              <w:t>Th</w:t>
            </w:r>
            <w:proofErr w:type="spellEnd"/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Semester </w:t>
            </w:r>
          </w:p>
        </w:tc>
        <w:tc>
          <w:tcPr>
            <w:tcW w:w="225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Elective‐VII </w:t>
            </w:r>
          </w:p>
        </w:tc>
        <w:tc>
          <w:tcPr>
            <w:tcW w:w="22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b/>
                <w:bCs/>
                <w:color w:val="000000"/>
                <w:szCs w:val="22"/>
              </w:rPr>
              <w:t xml:space="preserve">(Choose one paper from the following)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MBC‐603A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Rural and Agricultural Marketing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MBC‐603B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International Financial Management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MBC‐603C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Industrial Relations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MBC‐603D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Information Security And Cyber Law </w:t>
            </w:r>
          </w:p>
        </w:tc>
      </w:tr>
      <w:tr w:rsidR="00133CB1" w:rsidRPr="00DE2F4A" w:rsidTr="008C1E6F">
        <w:trPr>
          <w:trHeight w:val="251"/>
        </w:trPr>
        <w:tc>
          <w:tcPr>
            <w:tcW w:w="6024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MBC‐603E </w:t>
            </w:r>
          </w:p>
        </w:tc>
        <w:tc>
          <w:tcPr>
            <w:tcW w:w="338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3CB1" w:rsidRPr="00DE2F4A" w:rsidRDefault="00133CB1" w:rsidP="008C1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color w:val="000000"/>
                <w:szCs w:val="22"/>
              </w:rPr>
            </w:pPr>
            <w:r w:rsidRPr="00DE2F4A">
              <w:rPr>
                <w:rFonts w:asciiTheme="majorHAnsi" w:hAnsiTheme="majorHAnsi" w:cs="Calibri"/>
                <w:color w:val="000000"/>
                <w:szCs w:val="22"/>
              </w:rPr>
              <w:t xml:space="preserve">Service Operations </w:t>
            </w:r>
          </w:p>
        </w:tc>
      </w:tr>
    </w:tbl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Area specialization: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Group </w:t>
      </w:r>
      <w:proofErr w:type="spellStart"/>
      <w:r w:rsidRPr="00DE2F4A">
        <w:rPr>
          <w:rFonts w:asciiTheme="majorHAnsi" w:hAnsiTheme="majorHAnsi" w:cs="Calibri"/>
          <w:b/>
          <w:bCs/>
          <w:color w:val="000000"/>
          <w:szCs w:val="22"/>
        </w:rPr>
        <w:t>A</w:t>
      </w:r>
      <w:r w:rsidRPr="00DE2F4A">
        <w:rPr>
          <w:rFonts w:asciiTheme="majorHAnsi" w:hAnsiTheme="majorHAnsi" w:cs="Calibri"/>
          <w:color w:val="000000"/>
          <w:szCs w:val="22"/>
        </w:rPr>
        <w:t>papers</w:t>
      </w:r>
      <w:proofErr w:type="spellEnd"/>
      <w:r w:rsidRPr="00DE2F4A">
        <w:rPr>
          <w:rFonts w:asciiTheme="majorHAnsi" w:hAnsiTheme="majorHAnsi" w:cs="Calibri"/>
          <w:color w:val="000000"/>
          <w:szCs w:val="22"/>
        </w:rPr>
        <w:t xml:space="preserve"> (MBC‐501A, 502A, 503A, 504A, 601A, 602A and 603A) are from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Marketing </w:t>
      </w:r>
      <w:r w:rsidRPr="00DE2F4A">
        <w:rPr>
          <w:rFonts w:asciiTheme="majorHAnsi" w:hAnsiTheme="majorHAnsi" w:cs="Calibri"/>
          <w:color w:val="000000"/>
          <w:szCs w:val="22"/>
        </w:rPr>
        <w:t xml:space="preserve">Area;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Group B </w:t>
      </w:r>
      <w:r w:rsidRPr="00DE2F4A">
        <w:rPr>
          <w:rFonts w:asciiTheme="majorHAnsi" w:hAnsiTheme="majorHAnsi" w:cs="Calibri"/>
          <w:color w:val="000000"/>
          <w:szCs w:val="22"/>
        </w:rPr>
        <w:t xml:space="preserve">papers (MBC‐501B, 502B, 503B, 504B, 601B, 602B and 603B) are from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Finance </w:t>
      </w:r>
      <w:r w:rsidRPr="00DE2F4A">
        <w:rPr>
          <w:rFonts w:asciiTheme="majorHAnsi" w:hAnsiTheme="majorHAnsi" w:cs="Calibri"/>
          <w:color w:val="000000"/>
          <w:szCs w:val="22"/>
        </w:rPr>
        <w:t xml:space="preserve">Area;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Group C </w:t>
      </w:r>
      <w:r w:rsidRPr="00DE2F4A">
        <w:rPr>
          <w:rFonts w:asciiTheme="majorHAnsi" w:hAnsiTheme="majorHAnsi" w:cs="Calibri"/>
          <w:color w:val="000000"/>
          <w:szCs w:val="22"/>
        </w:rPr>
        <w:t xml:space="preserve">papers (MBC‐501C, 502C, 503C, 504C, 601C, 602C and 603C) are from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HRM </w:t>
      </w:r>
      <w:r w:rsidRPr="00DE2F4A">
        <w:rPr>
          <w:rFonts w:asciiTheme="majorHAnsi" w:hAnsiTheme="majorHAnsi" w:cs="Calibri"/>
          <w:color w:val="000000"/>
          <w:szCs w:val="22"/>
        </w:rPr>
        <w:t xml:space="preserve">Area;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Group D </w:t>
      </w:r>
      <w:r w:rsidRPr="00DE2F4A">
        <w:rPr>
          <w:rFonts w:asciiTheme="majorHAnsi" w:hAnsiTheme="majorHAnsi" w:cs="Calibri"/>
          <w:color w:val="000000"/>
          <w:szCs w:val="22"/>
        </w:rPr>
        <w:t xml:space="preserve">papers (MBC‐501D, 502D, 503D, 504D, 601D, 602D and 603D) are from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Systems </w:t>
      </w:r>
      <w:r w:rsidRPr="00DE2F4A">
        <w:rPr>
          <w:rFonts w:asciiTheme="majorHAnsi" w:hAnsiTheme="majorHAnsi" w:cs="Calibri"/>
          <w:color w:val="000000"/>
          <w:szCs w:val="22"/>
        </w:rPr>
        <w:t xml:space="preserve">Area.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Group E Papers </w:t>
      </w:r>
      <w:r w:rsidRPr="00DE2F4A">
        <w:rPr>
          <w:rFonts w:asciiTheme="majorHAnsi" w:hAnsiTheme="majorHAnsi" w:cs="Calibri"/>
          <w:color w:val="000000"/>
          <w:szCs w:val="22"/>
        </w:rPr>
        <w:t xml:space="preserve">(MBC‐501E, </w:t>
      </w:r>
      <w:proofErr w:type="gramStart"/>
      <w:r w:rsidRPr="00DE2F4A">
        <w:rPr>
          <w:rFonts w:asciiTheme="majorHAnsi" w:hAnsiTheme="majorHAnsi" w:cs="Calibri"/>
          <w:color w:val="000000"/>
          <w:szCs w:val="22"/>
        </w:rPr>
        <w:t>502E ,</w:t>
      </w:r>
      <w:proofErr w:type="gramEnd"/>
      <w:r w:rsidRPr="00DE2F4A">
        <w:rPr>
          <w:rFonts w:asciiTheme="majorHAnsi" w:hAnsiTheme="majorHAnsi" w:cs="Calibri"/>
          <w:color w:val="000000"/>
          <w:szCs w:val="22"/>
        </w:rPr>
        <w:t xml:space="preserve"> 503E, 504E, 601E, 602E and 603E) are from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Production </w:t>
      </w:r>
      <w:r w:rsidRPr="00DE2F4A">
        <w:rPr>
          <w:rFonts w:asciiTheme="majorHAnsi" w:hAnsiTheme="majorHAnsi" w:cs="Calibri"/>
          <w:color w:val="000000"/>
          <w:szCs w:val="22"/>
        </w:rPr>
        <w:t xml:space="preserve">Area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Choice of Electives: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color w:val="000000"/>
          <w:szCs w:val="22"/>
        </w:rPr>
        <w:t>The elective papers will be offered in the functional areas of Management such as Marketing, Finance, Human Resources and Systems. Students have options to choose four papers as Electives I</w:t>
      </w:r>
      <w:proofErr w:type="gramStart"/>
      <w:r w:rsidRPr="00DE2F4A">
        <w:rPr>
          <w:rFonts w:asciiTheme="majorHAnsi" w:hAnsiTheme="majorHAnsi" w:cs="Calibri"/>
          <w:color w:val="000000"/>
          <w:szCs w:val="22"/>
        </w:rPr>
        <w:t>,II,III,IV</w:t>
      </w:r>
      <w:proofErr w:type="gramEnd"/>
      <w:r w:rsidRPr="00DE2F4A">
        <w:rPr>
          <w:rFonts w:asciiTheme="majorHAnsi" w:hAnsiTheme="majorHAnsi" w:cs="Calibri"/>
          <w:color w:val="000000"/>
          <w:szCs w:val="22"/>
        </w:rPr>
        <w:t xml:space="preserve"> from the Elective papers offered in the 3rd Semester and three papers as Electives V, VI, VII from the list of subjects offered in 4</w:t>
      </w:r>
      <w:proofErr w:type="spellStart"/>
      <w:r w:rsidRPr="00DE2F4A">
        <w:rPr>
          <w:rFonts w:asciiTheme="majorHAnsi" w:hAnsiTheme="majorHAnsi" w:cs="Calibri"/>
          <w:color w:val="000000"/>
          <w:position w:val="8"/>
          <w:szCs w:val="22"/>
          <w:vertAlign w:val="superscript"/>
        </w:rPr>
        <w:t>th</w:t>
      </w:r>
      <w:proofErr w:type="spellEnd"/>
      <w:r w:rsidRPr="00DE2F4A">
        <w:rPr>
          <w:rFonts w:asciiTheme="majorHAnsi" w:hAnsiTheme="majorHAnsi" w:cs="Calibri"/>
          <w:color w:val="000000"/>
          <w:szCs w:val="22"/>
        </w:rPr>
        <w:t xml:space="preserve">Semester. A student shall be considered to have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specialization </w:t>
      </w:r>
      <w:r w:rsidRPr="00DE2F4A">
        <w:rPr>
          <w:rFonts w:asciiTheme="majorHAnsi" w:hAnsiTheme="majorHAnsi" w:cs="Calibri"/>
          <w:color w:val="000000"/>
          <w:szCs w:val="22"/>
        </w:rPr>
        <w:t xml:space="preserve">in a particular area provided he/she covers </w:t>
      </w:r>
      <w:r w:rsidRPr="00DE2F4A">
        <w:rPr>
          <w:rFonts w:asciiTheme="majorHAnsi" w:hAnsiTheme="majorHAnsi" w:cs="Calibri"/>
          <w:b/>
          <w:bCs/>
          <w:color w:val="000000"/>
          <w:szCs w:val="22"/>
        </w:rPr>
        <w:t xml:space="preserve">at least four papers </w:t>
      </w:r>
      <w:r w:rsidRPr="00DE2F4A">
        <w:rPr>
          <w:rFonts w:asciiTheme="majorHAnsi" w:hAnsiTheme="majorHAnsi" w:cs="Calibri"/>
          <w:color w:val="000000"/>
          <w:szCs w:val="22"/>
        </w:rPr>
        <w:t>of that particular area in the 3</w:t>
      </w:r>
      <w:r w:rsidRPr="00DE2F4A">
        <w:rPr>
          <w:rFonts w:asciiTheme="majorHAnsi" w:hAnsiTheme="majorHAnsi" w:cs="Calibri"/>
          <w:color w:val="000000"/>
          <w:position w:val="8"/>
          <w:szCs w:val="22"/>
          <w:vertAlign w:val="superscript"/>
        </w:rPr>
        <w:t>rd</w:t>
      </w:r>
      <w:r w:rsidRPr="00DE2F4A">
        <w:rPr>
          <w:rFonts w:asciiTheme="majorHAnsi" w:hAnsiTheme="majorHAnsi" w:cs="Calibri"/>
          <w:color w:val="000000"/>
          <w:szCs w:val="22"/>
        </w:rPr>
        <w:t>and 4</w:t>
      </w:r>
      <w:proofErr w:type="spellStart"/>
      <w:r w:rsidRPr="00DE2F4A">
        <w:rPr>
          <w:rFonts w:asciiTheme="majorHAnsi" w:hAnsiTheme="majorHAnsi" w:cs="Calibri"/>
          <w:color w:val="000000"/>
          <w:position w:val="8"/>
          <w:szCs w:val="22"/>
          <w:vertAlign w:val="superscript"/>
        </w:rPr>
        <w:t>th</w:t>
      </w:r>
      <w:proofErr w:type="spellEnd"/>
      <w:r w:rsidRPr="00DE2F4A">
        <w:rPr>
          <w:rFonts w:asciiTheme="majorHAnsi" w:hAnsiTheme="majorHAnsi" w:cs="Calibri"/>
          <w:color w:val="000000"/>
          <w:szCs w:val="22"/>
        </w:rPr>
        <w:t xml:space="preserve">semesters taken together.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color w:val="000000"/>
          <w:szCs w:val="22"/>
        </w:rPr>
        <w:lastRenderedPageBreak/>
        <w:t xml:space="preserve">The institutions concerned shall be free to offer the exact subjects subject to administrative exigency such as availability of faculty, minimum of 15 students opting for an elective paper.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color w:val="000000"/>
          <w:szCs w:val="22"/>
        </w:rPr>
        <w:t xml:space="preserve">The degree will be awarded after successful completion of all the semester papers. </w:t>
      </w:r>
    </w:p>
    <w:p w:rsidR="00133CB1" w:rsidRPr="00DE2F4A" w:rsidRDefault="00133CB1" w:rsidP="00133C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Cs w:val="22"/>
        </w:rPr>
      </w:pPr>
      <w:r w:rsidRPr="00DE2F4A">
        <w:rPr>
          <w:rFonts w:asciiTheme="majorHAnsi" w:hAnsiTheme="majorHAnsi" w:cs="Calibri"/>
          <w:color w:val="000000"/>
          <w:szCs w:val="22"/>
        </w:rPr>
        <w:t xml:space="preserve">The teaching methodology in core and elective papers should emphasize on case study approach wherever appropriate with cases being of recent origin. </w:t>
      </w:r>
    </w:p>
    <w:p w:rsidR="00C34F19" w:rsidRDefault="00C34F19"/>
    <w:sectPr w:rsidR="00C34F19" w:rsidSect="00C3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35731"/>
    <w:multiLevelType w:val="multilevel"/>
    <w:tmpl w:val="D57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CB1"/>
    <w:rsid w:val="00133CB1"/>
    <w:rsid w:val="00C3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1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sruti</dc:creator>
  <cp:lastModifiedBy>sruti</cp:lastModifiedBy>
  <cp:revision>1</cp:revision>
  <dcterms:created xsi:type="dcterms:W3CDTF">2013-03-09T17:54:00Z</dcterms:created>
  <dcterms:modified xsi:type="dcterms:W3CDTF">2013-03-09T17:56:00Z</dcterms:modified>
</cp:coreProperties>
</file>